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3C0F" w14:textId="3D52AE22" w:rsidR="003B6B76" w:rsidRDefault="003B6B76" w:rsidP="003B6B76">
      <w:pPr>
        <w:spacing w:after="0" w:line="240" w:lineRule="auto"/>
        <w:jc w:val="both"/>
      </w:pPr>
      <w:r>
        <w:t>PNR EST Botulisme</w:t>
      </w:r>
    </w:p>
    <w:p w14:paraId="1CF9031D" w14:textId="77777777" w:rsidR="003B6B76" w:rsidRDefault="003B6B76" w:rsidP="003B6B76">
      <w:pPr>
        <w:spacing w:after="0" w:line="240" w:lineRule="auto"/>
        <w:jc w:val="both"/>
      </w:pPr>
      <w:r>
        <w:t>Programme National de Recherche Environnement-Santé-Travail</w:t>
      </w:r>
    </w:p>
    <w:p w14:paraId="4C39B654" w14:textId="0C778531" w:rsidR="003B6B76" w:rsidRDefault="003B6B76" w:rsidP="003B6B76">
      <w:pPr>
        <w:spacing w:after="0" w:line="240" w:lineRule="auto"/>
        <w:jc w:val="both"/>
      </w:pPr>
      <w:r>
        <w:t>2025 - 2029</w:t>
      </w:r>
    </w:p>
    <w:p w14:paraId="5D14A0A3" w14:textId="77777777" w:rsidR="003B6B76" w:rsidRDefault="003B6B76" w:rsidP="003B6B76">
      <w:pPr>
        <w:spacing w:after="0" w:line="240" w:lineRule="auto"/>
        <w:jc w:val="both"/>
      </w:pPr>
    </w:p>
    <w:p w14:paraId="7B636B2C" w14:textId="62149313" w:rsidR="003B6B76" w:rsidRDefault="003B6B76" w:rsidP="003B6B76">
      <w:pPr>
        <w:spacing w:after="0" w:line="240" w:lineRule="auto"/>
        <w:jc w:val="both"/>
      </w:pPr>
      <w:r>
        <w:t xml:space="preserve">Le projet PNR EST Botulisme s’inscrit dans la continuité des travaux CHABOTÉ consacrés aux Conditions Hydro-écologiques d’Apparition du Botulisme et Occurrence de Toxines en Étangs. Il vise à renforcer la compréhension des conditions environnementales, hydro-écologiques, bactériologiques et ornithologiques susceptibles de favoriser l’émergence d’épisodes de botulisme aviaire dans les écosystèmes </w:t>
      </w:r>
      <w:proofErr w:type="spellStart"/>
      <w:r>
        <w:t>lentiques</w:t>
      </w:r>
      <w:proofErr w:type="spellEnd"/>
      <w:r>
        <w:t xml:space="preserve"> français.</w:t>
      </w:r>
    </w:p>
    <w:p w14:paraId="30136EA5" w14:textId="77777777" w:rsidR="003B6B76" w:rsidRDefault="003B6B76" w:rsidP="003B6B76">
      <w:pPr>
        <w:spacing w:after="0" w:line="240" w:lineRule="auto"/>
        <w:jc w:val="both"/>
      </w:pPr>
    </w:p>
    <w:p w14:paraId="74888CED" w14:textId="520C879E" w:rsidR="003B6B76" w:rsidRDefault="003B6B76" w:rsidP="003B6B76">
      <w:pPr>
        <w:spacing w:after="0" w:line="240" w:lineRule="auto"/>
        <w:jc w:val="both"/>
      </w:pPr>
      <w:r>
        <w:t xml:space="preserve">Porté par Damien Banas, ce projet est financé dans le cadre de l’appel à projets du Programme National de Recherche Environnement-Santé-Travail piloté par l’Anses. Il associe notamment l’Anses, l’Institut Pasteur, l’Office français de la biodiversité, </w:t>
      </w:r>
      <w:r w:rsidR="008026E2">
        <w:t xml:space="preserve">la réserve naturelle </w:t>
      </w:r>
      <w:r>
        <w:t>du Marais d’</w:t>
      </w:r>
      <w:proofErr w:type="spellStart"/>
      <w:r>
        <w:t>Orx</w:t>
      </w:r>
      <w:proofErr w:type="spellEnd"/>
      <w:r>
        <w:t xml:space="preserve"> et</w:t>
      </w:r>
      <w:r w:rsidR="008026E2">
        <w:t xml:space="preserve"> le site d’étude</w:t>
      </w:r>
      <w:r>
        <w:t xml:space="preserve"> du Lac du Der.</w:t>
      </w:r>
    </w:p>
    <w:p w14:paraId="359349E6" w14:textId="77777777" w:rsidR="003B6B76" w:rsidRDefault="003B6B76" w:rsidP="003B6B76">
      <w:pPr>
        <w:spacing w:after="0" w:line="240" w:lineRule="auto"/>
        <w:jc w:val="both"/>
      </w:pPr>
    </w:p>
    <w:p w14:paraId="6E86C24F" w14:textId="7892AC96" w:rsidR="003B6B76" w:rsidRDefault="003B6B76" w:rsidP="003B6B76">
      <w:pPr>
        <w:spacing w:after="0" w:line="240" w:lineRule="auto"/>
        <w:jc w:val="both"/>
      </w:pPr>
      <w:r>
        <w:t>Le projet repose sur une approche écosystémique combinant suivis in situ, analyses microbiologiques et caractérisation des matrices environnementales biotiques et abiotiques. Il vise à mieux identifier les compartiments impliqués dans la présence de Clostridium botulinum et de toxines botuliques, ainsi que les modalités d’exposition de l’avifaune sauvage.</w:t>
      </w:r>
    </w:p>
    <w:p w14:paraId="42D95506" w14:textId="71425CC3" w:rsidR="003B6B76" w:rsidRDefault="003B6B76" w:rsidP="003B6B76">
      <w:pPr>
        <w:spacing w:after="0" w:line="240" w:lineRule="auto"/>
        <w:jc w:val="both"/>
      </w:pPr>
    </w:p>
    <w:p w14:paraId="5581B90D" w14:textId="2412949C" w:rsidR="008422E1" w:rsidRDefault="008026E2" w:rsidP="003B6B76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6F0FB09" wp14:editId="18250C09">
            <wp:simplePos x="0" y="0"/>
            <wp:positionH relativeFrom="column">
              <wp:posOffset>3726180</wp:posOffset>
            </wp:positionH>
            <wp:positionV relativeFrom="paragraph">
              <wp:posOffset>864870</wp:posOffset>
            </wp:positionV>
            <wp:extent cx="655754" cy="432000"/>
            <wp:effectExtent l="0" t="0" r="0" b="635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54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3D2D5F3" wp14:editId="6C28EF25">
            <wp:simplePos x="0" y="0"/>
            <wp:positionH relativeFrom="margin">
              <wp:posOffset>4564380</wp:posOffset>
            </wp:positionH>
            <wp:positionV relativeFrom="paragraph">
              <wp:posOffset>869315</wp:posOffset>
            </wp:positionV>
            <wp:extent cx="454025" cy="431800"/>
            <wp:effectExtent l="0" t="0" r="3175" b="635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EAC2C66" wp14:editId="18541150">
            <wp:simplePos x="0" y="0"/>
            <wp:positionH relativeFrom="margin">
              <wp:posOffset>2544445</wp:posOffset>
            </wp:positionH>
            <wp:positionV relativeFrom="paragraph">
              <wp:posOffset>867410</wp:posOffset>
            </wp:positionV>
            <wp:extent cx="1062814" cy="432000"/>
            <wp:effectExtent l="0" t="0" r="4445" b="635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14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color w:val="636363"/>
          <w:sz w:val="17"/>
          <w:szCs w:val="17"/>
        </w:rPr>
        <w:drawing>
          <wp:anchor distT="0" distB="0" distL="114300" distR="114300" simplePos="0" relativeHeight="251658240" behindDoc="0" locked="0" layoutInCell="1" allowOverlap="1" wp14:anchorId="35EF4112" wp14:editId="604B6E97">
            <wp:simplePos x="0" y="0"/>
            <wp:positionH relativeFrom="margin">
              <wp:posOffset>-26670</wp:posOffset>
            </wp:positionH>
            <wp:positionV relativeFrom="paragraph">
              <wp:posOffset>869315</wp:posOffset>
            </wp:positionV>
            <wp:extent cx="1108075" cy="431800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B76">
        <w:t>Dans un contexte de réchauffement climatique et de dégradation de certains milieux aquatiques, PNR</w:t>
      </w:r>
      <w:r>
        <w:t> </w:t>
      </w:r>
      <w:proofErr w:type="spellStart"/>
      <w:r w:rsidR="003B6B76">
        <w:t>ESToxine</w:t>
      </w:r>
      <w:proofErr w:type="spellEnd"/>
      <w:r w:rsidR="003B6B76">
        <w:t xml:space="preserve"> Botulique contribuera à améliorer l’évaluation du risque d’apparition d’épisodes de botulisme et à produire des connaissances mobilisables pour la prévention, la surveillance et la gestion du risque sanitaire dans les étangs français.</w:t>
      </w:r>
    </w:p>
    <w:p w14:paraId="2E0026D4" w14:textId="35F5E382" w:rsidR="008422E1" w:rsidRDefault="003B6B76" w:rsidP="00DB4773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E4BE14F" wp14:editId="48DE6EF9">
            <wp:simplePos x="0" y="0"/>
            <wp:positionH relativeFrom="column">
              <wp:posOffset>1272540</wp:posOffset>
            </wp:positionH>
            <wp:positionV relativeFrom="paragraph">
              <wp:posOffset>186690</wp:posOffset>
            </wp:positionV>
            <wp:extent cx="1080000" cy="432000"/>
            <wp:effectExtent l="0" t="0" r="6350" b="635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4CE4"/>
    <w:multiLevelType w:val="hybridMultilevel"/>
    <w:tmpl w:val="E1CE53AE"/>
    <w:lvl w:ilvl="0" w:tplc="B4EEA7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A0840"/>
    <w:multiLevelType w:val="hybridMultilevel"/>
    <w:tmpl w:val="D0DE5764"/>
    <w:lvl w:ilvl="0" w:tplc="BA1AE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35398"/>
    <w:multiLevelType w:val="hybridMultilevel"/>
    <w:tmpl w:val="3C2A9FDA"/>
    <w:lvl w:ilvl="0" w:tplc="F5264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E1"/>
    <w:rsid w:val="002157E7"/>
    <w:rsid w:val="003B6B76"/>
    <w:rsid w:val="004342B7"/>
    <w:rsid w:val="004751BA"/>
    <w:rsid w:val="008026E2"/>
    <w:rsid w:val="008422E1"/>
    <w:rsid w:val="00852681"/>
    <w:rsid w:val="00A66CB4"/>
    <w:rsid w:val="00A73ACC"/>
    <w:rsid w:val="00DB4773"/>
    <w:rsid w:val="00EC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8F6B"/>
  <w15:chartTrackingRefBased/>
  <w15:docId w15:val="{BC937A9E-28C6-4143-9752-33925F27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Banas</dc:creator>
  <cp:keywords/>
  <dc:description/>
  <cp:lastModifiedBy>Claire Soligot-Hognon</cp:lastModifiedBy>
  <cp:revision>2</cp:revision>
  <dcterms:created xsi:type="dcterms:W3CDTF">2026-06-18T10:09:00Z</dcterms:created>
  <dcterms:modified xsi:type="dcterms:W3CDTF">2026-06-18T10:09:00Z</dcterms:modified>
</cp:coreProperties>
</file>