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15DA" w14:textId="77777777" w:rsidR="004751BA" w:rsidRPr="004751BA" w:rsidRDefault="004751BA" w:rsidP="004751BA">
      <w:pPr>
        <w:spacing w:after="0" w:line="240" w:lineRule="auto"/>
        <w:jc w:val="both"/>
        <w:rPr>
          <w:b/>
          <w:bCs/>
        </w:rPr>
      </w:pPr>
      <w:r w:rsidRPr="004751BA">
        <w:rPr>
          <w:b/>
          <w:bCs/>
        </w:rPr>
        <w:t>GLAN’EST : caractériser la contamination des silures en Meuse et Moselle et ses implications pour la chaîne alimentaire</w:t>
      </w:r>
    </w:p>
    <w:p w14:paraId="64511EC4" w14:textId="77777777" w:rsidR="004751BA" w:rsidRDefault="004751BA" w:rsidP="004751BA">
      <w:pPr>
        <w:spacing w:after="0" w:line="240" w:lineRule="auto"/>
        <w:jc w:val="both"/>
      </w:pPr>
    </w:p>
    <w:p w14:paraId="1716257D" w14:textId="77777777" w:rsidR="004751BA" w:rsidRDefault="004751BA" w:rsidP="004751BA">
      <w:pPr>
        <w:spacing w:after="0" w:line="240" w:lineRule="auto"/>
        <w:jc w:val="both"/>
      </w:pPr>
      <w:r>
        <w:t>Le projet GLAN’EST vise à approfondir la connaissance de la contamination chimique des milieux aquatiques en Lorraine, en se concentrant sur les bassins de la Meuse et de la Moselle, avec une attention particulière portée aux transferts de contaminants au sein des chaînes trophiques et à leurs implications pour la qualité des ressources halieutiques.</w:t>
      </w:r>
    </w:p>
    <w:p w14:paraId="47A8EF8C" w14:textId="77777777" w:rsidR="004751BA" w:rsidRDefault="004751BA" w:rsidP="004751BA">
      <w:pPr>
        <w:spacing w:after="0" w:line="240" w:lineRule="auto"/>
        <w:jc w:val="both"/>
      </w:pPr>
    </w:p>
    <w:p w14:paraId="36FA9E1C" w14:textId="77777777" w:rsidR="004751BA" w:rsidRDefault="004751BA" w:rsidP="004751BA">
      <w:pPr>
        <w:spacing w:after="0" w:line="240" w:lineRule="auto"/>
        <w:jc w:val="both"/>
      </w:pPr>
      <w:r>
        <w:t>Porté par Damien Banas (Université de Lorraine, laboratoire L2A) et cofinancé par l’Agence de l’Eau Rhin-Meuse (AERM), ce projet s’inscrit dans la continuité directe du programme GLANISTOX, dont il constitue un prolongement opérationnel à l’échelle régionale, en intégrant explicitement les enjeux de sécurité sanitaire et de valorisation des produits issus des milieux aquatiques.</w:t>
      </w:r>
    </w:p>
    <w:p w14:paraId="47906041" w14:textId="77777777" w:rsidR="004751BA" w:rsidRDefault="004751BA" w:rsidP="004751BA">
      <w:pPr>
        <w:spacing w:after="0" w:line="240" w:lineRule="auto"/>
        <w:jc w:val="both"/>
      </w:pPr>
    </w:p>
    <w:p w14:paraId="08C96D6A" w14:textId="77777777" w:rsidR="004751BA" w:rsidRDefault="004751BA" w:rsidP="004751BA">
      <w:pPr>
        <w:spacing w:after="0" w:line="240" w:lineRule="auto"/>
        <w:jc w:val="both"/>
      </w:pPr>
      <w:r>
        <w:t xml:space="preserve">En s’appuyant sur le silure glane, espèce top-prédatrice fortement </w:t>
      </w:r>
      <w:proofErr w:type="spellStart"/>
      <w:r>
        <w:t>bioaccumulatrice</w:t>
      </w:r>
      <w:proofErr w:type="spellEnd"/>
      <w:r>
        <w:t>, GLAN’EST cherche à documenter de manière intégrée les niveaux de contamination des chaînes trophiques aquatiques. Cette approche permet d’accéder à une vision globale des micropolluants persistants (historiques et émergents), tout en apportant des éléments essentiels à l’évaluation du transfert de ces contaminants vers des matrices biologiques d’intérêt alimentaire.</w:t>
      </w:r>
    </w:p>
    <w:p w14:paraId="32774025" w14:textId="77777777" w:rsidR="004751BA" w:rsidRDefault="004751BA" w:rsidP="004751BA">
      <w:pPr>
        <w:spacing w:after="0" w:line="240" w:lineRule="auto"/>
        <w:jc w:val="both"/>
      </w:pPr>
    </w:p>
    <w:p w14:paraId="23E48D9B" w14:textId="77777777" w:rsidR="004751BA" w:rsidRDefault="004751BA" w:rsidP="004751BA">
      <w:pPr>
        <w:spacing w:after="0" w:line="240" w:lineRule="auto"/>
        <w:jc w:val="both"/>
      </w:pPr>
      <w:r>
        <w:t>Le projet repose sur des campagnes d’échantillonnage menées en conditions réelles, notamment via la mobilisation de réseaux de pêcheurs. Les silures collectés font l’objet d’analyses chimiques sur différentes matrices (muscle, foie), complétées par des données biologiques (âge, croissance), afin de relier les niveaux de contamination aux caractéristiques des individus, aux conditions environnementales locales et aux dynamiques de bioaccumulation.</w:t>
      </w:r>
    </w:p>
    <w:p w14:paraId="121935B3" w14:textId="77777777" w:rsidR="004751BA" w:rsidRDefault="004751BA" w:rsidP="004751BA">
      <w:pPr>
        <w:spacing w:after="0" w:line="240" w:lineRule="auto"/>
        <w:jc w:val="both"/>
      </w:pPr>
    </w:p>
    <w:p w14:paraId="6C2DC4F4" w14:textId="77777777" w:rsidR="004751BA" w:rsidRDefault="004751BA" w:rsidP="004751BA">
      <w:pPr>
        <w:spacing w:after="0" w:line="240" w:lineRule="auto"/>
        <w:jc w:val="both"/>
      </w:pPr>
      <w:r>
        <w:t>GLAN’EST vise ainsi plusieurs objectifs complémentaires :</w:t>
      </w:r>
    </w:p>
    <w:p w14:paraId="4AF55DE0" w14:textId="19645172" w:rsidR="004751BA" w:rsidRDefault="004751BA" w:rsidP="004751BA">
      <w:pPr>
        <w:pStyle w:val="Paragraphedeliste"/>
        <w:numPr>
          <w:ilvl w:val="0"/>
          <w:numId w:val="3"/>
        </w:numPr>
        <w:spacing w:after="0" w:line="240" w:lineRule="auto"/>
        <w:jc w:val="both"/>
      </w:pPr>
      <w:proofErr w:type="gramStart"/>
      <w:r>
        <w:t>documenter</w:t>
      </w:r>
      <w:proofErr w:type="gramEnd"/>
      <w:r>
        <w:t xml:space="preserve"> les profils de contamination des silures dans les bassins lorrains ;</w:t>
      </w:r>
    </w:p>
    <w:p w14:paraId="421F423A" w14:textId="4585F2D3" w:rsidR="004751BA" w:rsidRDefault="004751BA" w:rsidP="004751BA">
      <w:pPr>
        <w:pStyle w:val="Paragraphedeliste"/>
        <w:numPr>
          <w:ilvl w:val="0"/>
          <w:numId w:val="3"/>
        </w:numPr>
        <w:spacing w:after="0" w:line="240" w:lineRule="auto"/>
        <w:jc w:val="both"/>
      </w:pPr>
      <w:proofErr w:type="gramStart"/>
      <w:r>
        <w:t>mettre</w:t>
      </w:r>
      <w:proofErr w:type="gramEnd"/>
      <w:r>
        <w:t xml:space="preserve"> en relation ces niveaux avec les pressions polluantes et les données de qualité des milieux ;</w:t>
      </w:r>
    </w:p>
    <w:p w14:paraId="778038A8" w14:textId="4E73BF23" w:rsidR="004751BA" w:rsidRDefault="004751BA" w:rsidP="004751BA">
      <w:pPr>
        <w:pStyle w:val="Paragraphedeliste"/>
        <w:numPr>
          <w:ilvl w:val="0"/>
          <w:numId w:val="3"/>
        </w:numPr>
        <w:spacing w:after="0" w:line="240" w:lineRule="auto"/>
        <w:jc w:val="both"/>
      </w:pPr>
      <w:proofErr w:type="gramStart"/>
      <w:r>
        <w:t>identifier</w:t>
      </w:r>
      <w:proofErr w:type="gramEnd"/>
      <w:r>
        <w:t xml:space="preserve"> des substances prioritaires à intégrer dans les stratégies de surveillance environnementale et alimentaire ;</w:t>
      </w:r>
    </w:p>
    <w:p w14:paraId="5F59809C" w14:textId="78C9CB83" w:rsidR="004751BA" w:rsidRDefault="004751BA" w:rsidP="004751BA">
      <w:pPr>
        <w:pStyle w:val="Paragraphedeliste"/>
        <w:numPr>
          <w:ilvl w:val="0"/>
          <w:numId w:val="3"/>
        </w:numPr>
        <w:spacing w:after="0" w:line="240" w:lineRule="auto"/>
        <w:jc w:val="both"/>
      </w:pPr>
      <w:proofErr w:type="gramStart"/>
      <w:r>
        <w:t>produire</w:t>
      </w:r>
      <w:proofErr w:type="gramEnd"/>
      <w:r>
        <w:t xml:space="preserve"> des données utiles à l’évaluation des risques </w:t>
      </w:r>
      <w:proofErr w:type="spellStart"/>
      <w:r>
        <w:t>écotoxicologiques</w:t>
      </w:r>
      <w:proofErr w:type="spellEnd"/>
      <w:r>
        <w:t xml:space="preserve"> et sanitaires, notamment dans une perspective de consommation humaine.</w:t>
      </w:r>
    </w:p>
    <w:p w14:paraId="07A7CE98" w14:textId="77777777" w:rsidR="004751BA" w:rsidRDefault="004751BA" w:rsidP="004751BA">
      <w:pPr>
        <w:spacing w:after="0" w:line="240" w:lineRule="auto"/>
        <w:jc w:val="both"/>
      </w:pPr>
    </w:p>
    <w:p w14:paraId="4BAD629A" w14:textId="77777777" w:rsidR="004751BA" w:rsidRDefault="004751BA" w:rsidP="004751BA">
      <w:pPr>
        <w:spacing w:after="0" w:line="240" w:lineRule="auto"/>
        <w:jc w:val="both"/>
      </w:pPr>
      <w:r>
        <w:t xml:space="preserve">En complément de GLANISTOX, ce projet permet de tester à l’échelle territoriale les approches méthodologiques développées au niveau national, et d’en évaluer la pertinence dans des contextes </w:t>
      </w:r>
      <w:proofErr w:type="spellStart"/>
      <w:r>
        <w:t>hydrosystémiques</w:t>
      </w:r>
      <w:proofErr w:type="spellEnd"/>
      <w:r>
        <w:t xml:space="preserve"> contrastés, tout en apportant des données directement mobilisables pour les acteurs locaux.</w:t>
      </w:r>
    </w:p>
    <w:p w14:paraId="55AC8F6D" w14:textId="77777777" w:rsidR="004751BA" w:rsidRDefault="004751BA" w:rsidP="004751BA">
      <w:pPr>
        <w:spacing w:after="0" w:line="240" w:lineRule="auto"/>
        <w:jc w:val="both"/>
      </w:pPr>
    </w:p>
    <w:p w14:paraId="5581B90D" w14:textId="474DA300" w:rsidR="008422E1" w:rsidRDefault="004751BA" w:rsidP="004751BA">
      <w:pPr>
        <w:spacing w:after="0" w:line="240" w:lineRule="auto"/>
        <w:jc w:val="both"/>
      </w:pPr>
      <w:r>
        <w:rPr>
          <w:noProof/>
        </w:rPr>
        <w:drawing>
          <wp:anchor distT="0" distB="0" distL="114300" distR="114300" simplePos="0" relativeHeight="251666432" behindDoc="0" locked="0" layoutInCell="1" allowOverlap="1" wp14:anchorId="03D2D5F3" wp14:editId="728C1829">
            <wp:simplePos x="0" y="0"/>
            <wp:positionH relativeFrom="margin">
              <wp:posOffset>5113020</wp:posOffset>
            </wp:positionH>
            <wp:positionV relativeFrom="paragraph">
              <wp:posOffset>789305</wp:posOffset>
            </wp:positionV>
            <wp:extent cx="454025" cy="431800"/>
            <wp:effectExtent l="0" t="0" r="3175"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025" cy="4318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636363"/>
          <w:sz w:val="17"/>
          <w:szCs w:val="17"/>
        </w:rPr>
        <w:drawing>
          <wp:anchor distT="0" distB="0" distL="114300" distR="114300" simplePos="0" relativeHeight="251658240" behindDoc="0" locked="0" layoutInCell="1" allowOverlap="1" wp14:anchorId="35EF4112" wp14:editId="7E563886">
            <wp:simplePos x="0" y="0"/>
            <wp:positionH relativeFrom="margin">
              <wp:posOffset>3676650</wp:posOffset>
            </wp:positionH>
            <wp:positionV relativeFrom="paragraph">
              <wp:posOffset>789305</wp:posOffset>
            </wp:positionV>
            <wp:extent cx="1108075" cy="43180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8075" cy="431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86F2803" wp14:editId="0872FEEF">
            <wp:simplePos x="0" y="0"/>
            <wp:positionH relativeFrom="margin">
              <wp:posOffset>2463800</wp:posOffset>
            </wp:positionH>
            <wp:positionV relativeFrom="paragraph">
              <wp:posOffset>790575</wp:posOffset>
            </wp:positionV>
            <wp:extent cx="955990" cy="432000"/>
            <wp:effectExtent l="0" t="0" r="0"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99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2E1">
        <w:rPr>
          <w:noProof/>
        </w:rPr>
        <w:drawing>
          <wp:anchor distT="0" distB="0" distL="114300" distR="114300" simplePos="0" relativeHeight="251660288" behindDoc="0" locked="0" layoutInCell="1" allowOverlap="1" wp14:anchorId="474700D9" wp14:editId="41FC174E">
            <wp:simplePos x="0" y="0"/>
            <wp:positionH relativeFrom="margin">
              <wp:posOffset>26670</wp:posOffset>
            </wp:positionH>
            <wp:positionV relativeFrom="paragraph">
              <wp:posOffset>790575</wp:posOffset>
            </wp:positionV>
            <wp:extent cx="2154007" cy="432000"/>
            <wp:effectExtent l="0" t="0" r="0" b="635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4007" cy="432000"/>
                    </a:xfrm>
                    <a:prstGeom prst="rect">
                      <a:avLst/>
                    </a:prstGeom>
                  </pic:spPr>
                </pic:pic>
              </a:graphicData>
            </a:graphic>
            <wp14:sizeRelH relativeFrom="margin">
              <wp14:pctWidth>0</wp14:pctWidth>
            </wp14:sizeRelH>
            <wp14:sizeRelV relativeFrom="margin">
              <wp14:pctHeight>0</wp14:pctHeight>
            </wp14:sizeRelV>
          </wp:anchor>
        </w:drawing>
      </w:r>
      <w:r>
        <w:t>Les résultats attendus contribueront à l’amélioration des dispositifs de surveillance de l’état chimique des milieux aquatiques, à une meilleure compréhension des transferts de contaminants vers les organismes vivants, et à la sécurisation de la production de poissons dans une perspective de santé environnementale et alimentaire.</w:t>
      </w:r>
    </w:p>
    <w:p w14:paraId="2E0026D4" w14:textId="5D3C6AB5" w:rsidR="008422E1" w:rsidRDefault="008422E1" w:rsidP="00DB4773">
      <w:pPr>
        <w:spacing w:after="0" w:line="240" w:lineRule="auto"/>
        <w:jc w:val="both"/>
      </w:pPr>
    </w:p>
    <w:sectPr w:rsidR="00842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E4"/>
    <w:multiLevelType w:val="hybridMultilevel"/>
    <w:tmpl w:val="E1CE53AE"/>
    <w:lvl w:ilvl="0" w:tplc="B4EEA7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A0840"/>
    <w:multiLevelType w:val="hybridMultilevel"/>
    <w:tmpl w:val="D0DE5764"/>
    <w:lvl w:ilvl="0" w:tplc="BA1AE6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C35398"/>
    <w:multiLevelType w:val="hybridMultilevel"/>
    <w:tmpl w:val="3C2A9FDA"/>
    <w:lvl w:ilvl="0" w:tplc="F52640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E1"/>
    <w:rsid w:val="002157E7"/>
    <w:rsid w:val="004342B7"/>
    <w:rsid w:val="004751BA"/>
    <w:rsid w:val="00807CA3"/>
    <w:rsid w:val="008422E1"/>
    <w:rsid w:val="00852681"/>
    <w:rsid w:val="00A73ACC"/>
    <w:rsid w:val="00DB4773"/>
    <w:rsid w:val="00EC5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8F6B"/>
  <w15:chartTrackingRefBased/>
  <w15:docId w15:val="{BC937A9E-28C6-4143-9752-33925F27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Banas</dc:creator>
  <cp:keywords/>
  <dc:description/>
  <cp:lastModifiedBy>Claire Soligot-Hognon</cp:lastModifiedBy>
  <cp:revision>2</cp:revision>
  <dcterms:created xsi:type="dcterms:W3CDTF">2026-03-31T06:48:00Z</dcterms:created>
  <dcterms:modified xsi:type="dcterms:W3CDTF">2026-03-31T06:48:00Z</dcterms:modified>
</cp:coreProperties>
</file>